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277" w14:textId="745FC2EB" w:rsidR="000C1EAB" w:rsidRDefault="00E30D95">
      <w:pPr>
        <w:ind w:firstLineChars="0" w:firstLine="0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《表面活性剂</w:t>
      </w:r>
      <w:r w:rsidR="00893346">
        <w:rPr>
          <w:rFonts w:ascii="宋体" w:hAnsi="宋体" w:hint="eastAsia"/>
          <w:b/>
          <w:bCs/>
          <w:sz w:val="32"/>
          <w:szCs w:val="32"/>
        </w:rPr>
        <w:t xml:space="preserve"> </w:t>
      </w:r>
      <w:r w:rsidR="00893346"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b/>
          <w:bCs/>
          <w:sz w:val="32"/>
          <w:szCs w:val="32"/>
        </w:rPr>
        <w:t>工业烷烃磺酸盐</w:t>
      </w:r>
      <w:r w:rsidR="00893346">
        <w:rPr>
          <w:rFonts w:ascii="宋体" w:hAnsi="宋体" w:hint="eastAsia"/>
          <w:b/>
          <w:bCs/>
          <w:sz w:val="32"/>
          <w:szCs w:val="32"/>
        </w:rPr>
        <w:t xml:space="preserve"> </w:t>
      </w:r>
      <w:r w:rsidR="00893346">
        <w:rPr>
          <w:rFonts w:ascii="宋体" w:hAnsi="宋体"/>
          <w:b/>
          <w:bCs/>
          <w:sz w:val="32"/>
          <w:szCs w:val="32"/>
        </w:rPr>
        <w:t xml:space="preserve"> </w:t>
      </w:r>
      <w:r>
        <w:rPr>
          <w:rFonts w:ascii="宋体" w:hAnsi="宋体" w:hint="eastAsia"/>
          <w:b/>
          <w:bCs/>
          <w:sz w:val="32"/>
          <w:szCs w:val="32"/>
        </w:rPr>
        <w:t>总烷烃磺酸盐含量的测定》</w:t>
      </w:r>
    </w:p>
    <w:p w14:paraId="2AFEB0A5" w14:textId="717D9D92" w:rsidR="000C1EAB" w:rsidRDefault="00E30D95">
      <w:pPr>
        <w:ind w:firstLineChars="0" w:firstLine="0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编制说明</w:t>
      </w:r>
    </w:p>
    <w:p w14:paraId="7B12EDD6" w14:textId="3379F649" w:rsidR="00A20F87" w:rsidRPr="00A20F87" w:rsidRDefault="00A20F87">
      <w:pPr>
        <w:ind w:firstLineChars="0" w:firstLine="0"/>
        <w:jc w:val="center"/>
        <w:rPr>
          <w:rFonts w:ascii="宋体" w:hAnsi="宋体"/>
          <w:b/>
          <w:bCs/>
          <w:szCs w:val="24"/>
        </w:rPr>
      </w:pPr>
      <w:r w:rsidRPr="00A20F87">
        <w:rPr>
          <w:rFonts w:ascii="宋体" w:hAnsi="宋体" w:hint="eastAsia"/>
          <w:b/>
          <w:bCs/>
          <w:szCs w:val="24"/>
        </w:rPr>
        <w:t>（</w:t>
      </w:r>
      <w:r w:rsidR="001A2AA7">
        <w:rPr>
          <w:rFonts w:ascii="宋体" w:hAnsi="宋体" w:hint="eastAsia"/>
          <w:b/>
          <w:bCs/>
          <w:szCs w:val="24"/>
        </w:rPr>
        <w:t>送审</w:t>
      </w:r>
      <w:r w:rsidRPr="00A20F87">
        <w:rPr>
          <w:rFonts w:ascii="宋体" w:hAnsi="宋体" w:hint="eastAsia"/>
          <w:b/>
          <w:bCs/>
          <w:szCs w:val="24"/>
        </w:rPr>
        <w:t>稿）</w:t>
      </w:r>
    </w:p>
    <w:p w14:paraId="07CB7361" w14:textId="77777777" w:rsidR="000C1EAB" w:rsidRDefault="00E30D95" w:rsidP="00DA410A">
      <w:pPr>
        <w:pStyle w:val="1"/>
        <w:spacing w:before="0" w:line="240" w:lineRule="auto"/>
        <w:rPr>
          <w:color w:val="FF0000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kern w:val="2"/>
          <w:sz w:val="21"/>
          <w:szCs w:val="21"/>
        </w:rPr>
        <w:t>.</w:t>
      </w:r>
      <w:r>
        <w:rPr>
          <w:rFonts w:hint="eastAsia"/>
          <w:kern w:val="2"/>
          <w:sz w:val="21"/>
          <w:szCs w:val="21"/>
        </w:rPr>
        <w:t>工作简况</w:t>
      </w:r>
    </w:p>
    <w:p w14:paraId="2315F4A8" w14:textId="77777777" w:rsidR="000C1EAB" w:rsidRDefault="00E30D95">
      <w:pPr>
        <w:pStyle w:val="2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1.1</w:t>
      </w:r>
      <w:r>
        <w:rPr>
          <w:rFonts w:hint="eastAsia"/>
          <w:sz w:val="21"/>
          <w:szCs w:val="21"/>
        </w:rPr>
        <w:t>任务来源</w:t>
      </w:r>
    </w:p>
    <w:p w14:paraId="1C578F26" w14:textId="0C39D12F" w:rsidR="000C1EAB" w:rsidRDefault="009048C7">
      <w:pPr>
        <w:ind w:firstLine="420"/>
        <w:rPr>
          <w:sz w:val="21"/>
          <w:szCs w:val="21"/>
        </w:rPr>
      </w:pPr>
      <w:r>
        <w:rPr>
          <w:rFonts w:hint="eastAsia"/>
          <w:color w:val="000000" w:themeColor="text1"/>
          <w:sz w:val="21"/>
          <w:szCs w:val="21"/>
        </w:rPr>
        <w:t>国际标准转化项目，</w:t>
      </w:r>
      <w:r w:rsidRPr="009048C7">
        <w:rPr>
          <w:rFonts w:hint="eastAsia"/>
          <w:color w:val="000000" w:themeColor="text1"/>
          <w:sz w:val="21"/>
          <w:szCs w:val="21"/>
        </w:rPr>
        <w:t>2018</w:t>
      </w:r>
      <w:r>
        <w:rPr>
          <w:rFonts w:hint="eastAsia"/>
          <w:sz w:val="21"/>
          <w:szCs w:val="21"/>
        </w:rPr>
        <w:t>年国家标准委批准立项，计划编号为：</w:t>
      </w:r>
      <w:r>
        <w:rPr>
          <w:sz w:val="21"/>
          <w:szCs w:val="21"/>
        </w:rPr>
        <w:t>201</w:t>
      </w:r>
      <w:r>
        <w:rPr>
          <w:rFonts w:hint="eastAsia"/>
          <w:sz w:val="21"/>
          <w:szCs w:val="21"/>
        </w:rPr>
        <w:t>8</w:t>
      </w:r>
      <w:r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163</w:t>
      </w:r>
      <w:r>
        <w:rPr>
          <w:sz w:val="21"/>
          <w:szCs w:val="21"/>
        </w:rPr>
        <w:t>-T-607</w:t>
      </w:r>
      <w:r>
        <w:rPr>
          <w:rFonts w:hint="eastAsia"/>
          <w:sz w:val="21"/>
          <w:szCs w:val="21"/>
        </w:rPr>
        <w:t>，</w:t>
      </w:r>
      <w:r w:rsidR="00E30D95">
        <w:rPr>
          <w:rFonts w:hint="eastAsia"/>
          <w:sz w:val="21"/>
          <w:szCs w:val="21"/>
        </w:rPr>
        <w:t>项目名称《表面活性剂—工业烷烃磺酸盐—总烷烃磺酸盐含量的测定》。</w:t>
      </w:r>
    </w:p>
    <w:p w14:paraId="661B6E88" w14:textId="77777777" w:rsidR="000C1EAB" w:rsidRDefault="00E30D95">
      <w:pPr>
        <w:pStyle w:val="2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1.2</w:t>
      </w:r>
      <w:r>
        <w:rPr>
          <w:rFonts w:hint="eastAsia"/>
          <w:sz w:val="21"/>
          <w:szCs w:val="21"/>
        </w:rPr>
        <w:t>工作过程</w:t>
      </w:r>
    </w:p>
    <w:p w14:paraId="456C4D6B" w14:textId="0393B88F" w:rsidR="000C1EAB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起草阶段：起草单位在接受了该标准的修订工作任务后，组成标准修订工作组，进行了相关标准和资料的收集，对标准实施十年来的应用情况进行研究，于</w:t>
      </w:r>
      <w:r>
        <w:rPr>
          <w:rFonts w:hint="eastAsia"/>
          <w:sz w:val="21"/>
          <w:szCs w:val="21"/>
        </w:rPr>
        <w:t>2021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月形成标准初稿，在各应用单位听取意见，根据各方意见，修改提出征求意见稿</w:t>
      </w:r>
      <w:r w:rsidR="001A2AA7">
        <w:rPr>
          <w:rFonts w:hint="eastAsia"/>
          <w:sz w:val="21"/>
          <w:szCs w:val="21"/>
        </w:rPr>
        <w:t>，网上实施公开征求意见</w:t>
      </w:r>
      <w:r>
        <w:rPr>
          <w:rFonts w:hint="eastAsia"/>
          <w:sz w:val="21"/>
          <w:szCs w:val="21"/>
        </w:rPr>
        <w:t>。</w:t>
      </w:r>
    </w:p>
    <w:p w14:paraId="551BE9FD" w14:textId="2E926638" w:rsidR="001A2AA7" w:rsidRDefault="001A2AA7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021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9</w:t>
      </w:r>
      <w:r>
        <w:rPr>
          <w:rFonts w:hint="eastAsia"/>
          <w:sz w:val="21"/>
          <w:szCs w:val="21"/>
        </w:rPr>
        <w:t>月根据反馈意见修改形成标准送审稿，并于</w:t>
      </w:r>
      <w:r>
        <w:rPr>
          <w:sz w:val="21"/>
          <w:szCs w:val="21"/>
        </w:rPr>
        <w:t>9</w:t>
      </w:r>
      <w:r>
        <w:rPr>
          <w:rFonts w:hint="eastAsia"/>
          <w:sz w:val="21"/>
          <w:szCs w:val="21"/>
        </w:rPr>
        <w:t>月</w:t>
      </w:r>
      <w:r>
        <w:rPr>
          <w:rFonts w:hint="eastAsia"/>
          <w:sz w:val="21"/>
          <w:szCs w:val="21"/>
        </w:rPr>
        <w:t>1</w:t>
      </w:r>
      <w:r>
        <w:rPr>
          <w:sz w:val="21"/>
          <w:szCs w:val="21"/>
        </w:rPr>
        <w:t>6-18</w:t>
      </w:r>
      <w:r>
        <w:rPr>
          <w:rFonts w:hint="eastAsia"/>
          <w:sz w:val="21"/>
          <w:szCs w:val="21"/>
        </w:rPr>
        <w:t>日</w:t>
      </w:r>
      <w:r>
        <w:rPr>
          <w:rFonts w:hint="eastAsia"/>
          <w:sz w:val="21"/>
          <w:szCs w:val="21"/>
        </w:rPr>
        <w:t>SAC/</w:t>
      </w:r>
      <w:r>
        <w:rPr>
          <w:sz w:val="21"/>
          <w:szCs w:val="21"/>
        </w:rPr>
        <w:t>TC272</w:t>
      </w:r>
      <w:r>
        <w:rPr>
          <w:rFonts w:hint="eastAsia"/>
          <w:sz w:val="21"/>
          <w:szCs w:val="21"/>
        </w:rPr>
        <w:t>委员会年会上进行审定。</w:t>
      </w:r>
    </w:p>
    <w:p w14:paraId="66E2DEEE" w14:textId="77777777" w:rsidR="000C1EAB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>
        <w:rPr>
          <w:rFonts w:hint="eastAsia"/>
          <w:sz w:val="21"/>
          <w:szCs w:val="21"/>
        </w:rPr>
        <w:t>标准编制原则和主要内容</w:t>
      </w:r>
    </w:p>
    <w:p w14:paraId="288F413B" w14:textId="77777777" w:rsidR="000C1EAB" w:rsidRDefault="00E30D95">
      <w:pPr>
        <w:pStyle w:val="2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2.1</w:t>
      </w:r>
      <w:r>
        <w:rPr>
          <w:rFonts w:hint="eastAsia"/>
          <w:sz w:val="21"/>
          <w:szCs w:val="21"/>
        </w:rPr>
        <w:t>标准编制原则</w:t>
      </w:r>
    </w:p>
    <w:p w14:paraId="1AC63613" w14:textId="77777777" w:rsidR="000C1EAB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标准按</w:t>
      </w:r>
      <w:r>
        <w:rPr>
          <w:rFonts w:hint="eastAsia"/>
          <w:sz w:val="21"/>
          <w:szCs w:val="21"/>
        </w:rPr>
        <w:t>GB/T 1.1-2020</w:t>
      </w:r>
      <w:r>
        <w:rPr>
          <w:rFonts w:hint="eastAsia"/>
          <w:sz w:val="21"/>
          <w:szCs w:val="21"/>
        </w:rPr>
        <w:t>《标准化工作导则</w:t>
      </w:r>
      <w:r>
        <w:rPr>
          <w:rFonts w:hint="eastAsia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部分：标准化文件的结构和起草规则》进行起草。</w:t>
      </w:r>
    </w:p>
    <w:p w14:paraId="41152EE0" w14:textId="77777777" w:rsidR="000C1EAB" w:rsidRDefault="00E30D95">
      <w:pPr>
        <w:pStyle w:val="2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2.2</w:t>
      </w:r>
      <w:r>
        <w:rPr>
          <w:rFonts w:hint="eastAsia"/>
          <w:sz w:val="21"/>
          <w:szCs w:val="21"/>
        </w:rPr>
        <w:t>主要内容</w:t>
      </w:r>
    </w:p>
    <w:p w14:paraId="64B41526" w14:textId="67FBACC9" w:rsidR="000C1EAB" w:rsidRDefault="00E30D95" w:rsidP="00DA410A">
      <w:pPr>
        <w:pStyle w:val="af9"/>
        <w:numPr>
          <w:ilvl w:val="0"/>
          <w:numId w:val="4"/>
        </w:numPr>
        <w:tabs>
          <w:tab w:val="clear" w:pos="4201"/>
          <w:tab w:val="clear" w:pos="9298"/>
        </w:tabs>
        <w:spacing w:line="300" w:lineRule="auto"/>
        <w:ind w:rightChars="-60" w:right="-144" w:firstLineChars="202" w:firstLine="424"/>
        <w:rPr>
          <w:rFonts w:ascii="Times New Roman"/>
        </w:rPr>
      </w:pPr>
      <w:r>
        <w:rPr>
          <w:rFonts w:ascii="Times New Roman" w:hint="eastAsia"/>
        </w:rPr>
        <w:t>标准</w:t>
      </w:r>
      <w:r w:rsidR="009048C7">
        <w:rPr>
          <w:rFonts w:ascii="Times New Roman" w:hint="eastAsia"/>
        </w:rPr>
        <w:t>修改</w:t>
      </w:r>
      <w:r>
        <w:rPr>
          <w:rFonts w:ascii="Times New Roman" w:hint="eastAsia"/>
        </w:rPr>
        <w:t>采用了国际标准</w:t>
      </w:r>
      <w:r>
        <w:rPr>
          <w:rFonts w:ascii="Times New Roman" w:hint="eastAsia"/>
        </w:rPr>
        <w:t>ISO 6122-1978</w:t>
      </w:r>
      <w:r>
        <w:rPr>
          <w:rFonts w:ascii="Times New Roman" w:hint="eastAsia"/>
        </w:rPr>
        <w:t>《表面活性剂—工业烷烃磺酸盐—总烷烃磺酸盐含量的测定》</w:t>
      </w:r>
      <w:r w:rsidR="009048C7">
        <w:rPr>
          <w:rFonts w:ascii="Times New Roman" w:hint="eastAsia"/>
        </w:rPr>
        <w:t>，主要修改之处是将</w:t>
      </w:r>
      <w:r w:rsidR="009048C7">
        <w:rPr>
          <w:rFonts w:ascii="Times New Roman" w:hint="eastAsia"/>
        </w:rPr>
        <w:t>ISO</w:t>
      </w:r>
      <w:r w:rsidR="009048C7">
        <w:rPr>
          <w:rFonts w:ascii="Times New Roman"/>
        </w:rPr>
        <w:t xml:space="preserve"> 6122</w:t>
      </w:r>
      <w:r w:rsidR="009048C7">
        <w:rPr>
          <w:rFonts w:ascii="Times New Roman" w:hint="eastAsia"/>
        </w:rPr>
        <w:t>标准规范性引用文件替换为对应的国家标准</w:t>
      </w:r>
      <w:r w:rsidR="001A2AA7">
        <w:rPr>
          <w:rFonts w:ascii="Times New Roman" w:hint="eastAsia"/>
        </w:rPr>
        <w:t>，并完善精密度要求</w:t>
      </w:r>
      <w:r>
        <w:rPr>
          <w:rFonts w:ascii="等线" w:hAnsi="等线" w:hint="eastAsia"/>
          <w:color w:val="000000"/>
          <w:szCs w:val="21"/>
        </w:rPr>
        <w:t>。</w:t>
      </w:r>
    </w:p>
    <w:p w14:paraId="6B9C4179" w14:textId="77777777" w:rsidR="000C1EAB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3.</w:t>
      </w:r>
      <w:r>
        <w:rPr>
          <w:rFonts w:hint="eastAsia"/>
          <w:sz w:val="21"/>
          <w:szCs w:val="21"/>
        </w:rPr>
        <w:t>标准中如果涉及专利，应有明确的知识产权说明</w:t>
      </w:r>
    </w:p>
    <w:p w14:paraId="6488A3A9" w14:textId="77777777" w:rsidR="000C1EAB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标准中不涉及专利。</w:t>
      </w:r>
    </w:p>
    <w:p w14:paraId="68FB6907" w14:textId="77777777" w:rsidR="000C1EAB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</w:rPr>
        <w:t>．产业化情况、推广应用论证和预期达到的经济效果等情况</w:t>
      </w:r>
    </w:p>
    <w:p w14:paraId="0FF91B32" w14:textId="77777777" w:rsidR="000C1EAB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无。</w:t>
      </w:r>
    </w:p>
    <w:p w14:paraId="629504FC" w14:textId="77777777" w:rsidR="000C1EAB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5</w:t>
      </w:r>
      <w:r>
        <w:rPr>
          <w:rFonts w:hint="eastAsia"/>
          <w:sz w:val="21"/>
          <w:szCs w:val="21"/>
        </w:rPr>
        <w:t>．</w:t>
      </w:r>
      <w:r>
        <w:rPr>
          <w:rFonts w:hint="eastAsia"/>
          <w:kern w:val="2"/>
          <w:sz w:val="21"/>
          <w:szCs w:val="21"/>
        </w:rPr>
        <w:t>采用国际标准和国外先进标准情况，与国际、国外同类标准水平的对比情况，国内外关键指标对比分析或与测试的国外样品、样机的相关数据对比情况</w:t>
      </w:r>
    </w:p>
    <w:p w14:paraId="09ED1DC1" w14:textId="5426364F" w:rsidR="000C1EAB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本标准</w:t>
      </w:r>
      <w:r w:rsidR="009048C7">
        <w:rPr>
          <w:rFonts w:hint="eastAsia"/>
          <w:sz w:val="21"/>
          <w:szCs w:val="21"/>
        </w:rPr>
        <w:t>修改</w:t>
      </w:r>
      <w:r>
        <w:rPr>
          <w:rFonts w:hint="eastAsia"/>
          <w:sz w:val="21"/>
          <w:szCs w:val="21"/>
        </w:rPr>
        <w:t>采用</w:t>
      </w:r>
      <w:r>
        <w:rPr>
          <w:rFonts w:hint="eastAsia"/>
          <w:kern w:val="0"/>
          <w:sz w:val="21"/>
        </w:rPr>
        <w:t>ISO 6122-1978</w:t>
      </w:r>
      <w:r w:rsidR="00DA410A">
        <w:rPr>
          <w:rFonts w:hint="eastAsia"/>
          <w:kern w:val="0"/>
          <w:sz w:val="21"/>
        </w:rPr>
        <w:t>，技术内容没有变化。</w:t>
      </w:r>
    </w:p>
    <w:p w14:paraId="689B1F4C" w14:textId="77777777" w:rsidR="000C1EAB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7.</w:t>
      </w:r>
      <w:r>
        <w:rPr>
          <w:rFonts w:hint="eastAsia"/>
          <w:sz w:val="21"/>
          <w:szCs w:val="21"/>
        </w:rPr>
        <w:t>与现行相关法律、法规、规章及相关标准，特别是强制性标准的协调性</w:t>
      </w:r>
    </w:p>
    <w:p w14:paraId="220C8A91" w14:textId="77777777" w:rsidR="000C1EAB" w:rsidRDefault="00E30D95" w:rsidP="00DA410A">
      <w:pPr>
        <w:ind w:rightChars="-60" w:right="-144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与表面活性剂行业相关法律法规、规章未发生冲突，与洗涤剂行业相关法律法规、规章协调一致。</w:t>
      </w:r>
    </w:p>
    <w:p w14:paraId="562C9BFD" w14:textId="77777777" w:rsidR="000C1EAB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8.</w:t>
      </w:r>
      <w:r>
        <w:rPr>
          <w:rFonts w:hint="eastAsia"/>
          <w:sz w:val="21"/>
          <w:szCs w:val="21"/>
        </w:rPr>
        <w:t>重大分歧意见的处理经过和依据</w:t>
      </w:r>
    </w:p>
    <w:p w14:paraId="08692569" w14:textId="77777777" w:rsidR="000C1EAB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无重大分歧意见。</w:t>
      </w:r>
    </w:p>
    <w:p w14:paraId="44CCE138" w14:textId="77777777" w:rsidR="000C1EAB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9.</w:t>
      </w:r>
      <w:r>
        <w:rPr>
          <w:rFonts w:hint="eastAsia"/>
          <w:sz w:val="21"/>
          <w:szCs w:val="21"/>
        </w:rPr>
        <w:t>标准性质的建议说明</w:t>
      </w:r>
    </w:p>
    <w:p w14:paraId="02E90467" w14:textId="77777777" w:rsidR="000C1EAB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标准性质是国家推荐性标准。</w:t>
      </w:r>
    </w:p>
    <w:p w14:paraId="405A9BD7" w14:textId="77777777" w:rsidR="000C1EAB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10.</w:t>
      </w:r>
      <w:r>
        <w:rPr>
          <w:rFonts w:hint="eastAsia"/>
          <w:sz w:val="21"/>
          <w:szCs w:val="21"/>
        </w:rPr>
        <w:t>贯彻标准的要求和措施建议（包括组织措施、技术措施、过渡办法、实施日期等）</w:t>
      </w:r>
    </w:p>
    <w:p w14:paraId="6F195854" w14:textId="77777777" w:rsidR="000C1EAB" w:rsidRDefault="00E30D95">
      <w:pPr>
        <w:spacing w:beforeLines="30" w:before="93" w:afterLines="30" w:after="93"/>
        <w:ind w:firstLine="420"/>
        <w:rPr>
          <w:rFonts w:ascii="ˎ̥" w:hAnsi="ˎ̥"/>
        </w:rPr>
      </w:pPr>
      <w:r>
        <w:rPr>
          <w:rFonts w:hint="eastAsia"/>
          <w:sz w:val="21"/>
          <w:szCs w:val="21"/>
        </w:rPr>
        <w:t>本标准为首次制定，建议本标准批准发布</w:t>
      </w:r>
      <w:r>
        <w:rPr>
          <w:rFonts w:hint="eastAsia"/>
          <w:sz w:val="21"/>
          <w:szCs w:val="21"/>
        </w:rPr>
        <w:t>6</w:t>
      </w:r>
      <w:r>
        <w:rPr>
          <w:rFonts w:hint="eastAsia"/>
          <w:sz w:val="21"/>
          <w:szCs w:val="21"/>
        </w:rPr>
        <w:t>个月后实施。</w:t>
      </w:r>
    </w:p>
    <w:p w14:paraId="3A5E7B76" w14:textId="77777777" w:rsidR="000C1EAB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11.</w:t>
      </w:r>
      <w:r>
        <w:rPr>
          <w:rFonts w:hint="eastAsia"/>
          <w:sz w:val="21"/>
          <w:szCs w:val="21"/>
        </w:rPr>
        <w:t>废止现行相关标准的建议</w:t>
      </w:r>
    </w:p>
    <w:p w14:paraId="580DE52F" w14:textId="23C1339F" w:rsidR="000C1EAB" w:rsidRDefault="00E30D95">
      <w:pPr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无。</w:t>
      </w:r>
    </w:p>
    <w:p w14:paraId="281E14DE" w14:textId="77777777" w:rsidR="000C1EAB" w:rsidRDefault="00E30D95">
      <w:pPr>
        <w:pStyle w:val="1"/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12.</w:t>
      </w:r>
      <w:r>
        <w:rPr>
          <w:rFonts w:hint="eastAsia"/>
          <w:sz w:val="21"/>
          <w:szCs w:val="21"/>
        </w:rPr>
        <w:t>其它应予说明的事项</w:t>
      </w:r>
    </w:p>
    <w:p w14:paraId="2513457E" w14:textId="77777777" w:rsidR="00E30D95" w:rsidRDefault="00E30D95">
      <w:pPr>
        <w:ind w:firstLine="420"/>
        <w:rPr>
          <w:rFonts w:ascii="等线 Light" w:hAnsi="等线 Light"/>
        </w:rPr>
      </w:pPr>
      <w:r>
        <w:rPr>
          <w:rFonts w:hint="eastAsia"/>
          <w:sz w:val="21"/>
          <w:szCs w:val="21"/>
        </w:rPr>
        <w:t>无</w:t>
      </w:r>
    </w:p>
    <w:sectPr w:rsidR="00E30D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FF6A7" w14:textId="77777777" w:rsidR="00642F87" w:rsidRDefault="00642F87">
      <w:pPr>
        <w:ind w:firstLine="480"/>
      </w:pPr>
      <w:r>
        <w:separator/>
      </w:r>
    </w:p>
  </w:endnote>
  <w:endnote w:type="continuationSeparator" w:id="0">
    <w:p w14:paraId="04DCF826" w14:textId="77777777" w:rsidR="00642F87" w:rsidRDefault="00642F87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13061" w14:textId="77777777" w:rsidR="000C1EAB" w:rsidRDefault="000C1EAB">
    <w:pPr>
      <w:pStyle w:val="af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50B4" w14:textId="77777777" w:rsidR="000C1EAB" w:rsidRDefault="000C1EAB">
    <w:pPr>
      <w:pStyle w:val="af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BA9A7" w14:textId="77777777" w:rsidR="000C1EAB" w:rsidRDefault="000C1EAB">
    <w:pPr>
      <w:pStyle w:val="af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72EDF" w14:textId="77777777" w:rsidR="00642F87" w:rsidRDefault="00642F87">
      <w:pPr>
        <w:ind w:firstLine="480"/>
      </w:pPr>
      <w:r>
        <w:separator/>
      </w:r>
    </w:p>
  </w:footnote>
  <w:footnote w:type="continuationSeparator" w:id="0">
    <w:p w14:paraId="37E5F4A2" w14:textId="77777777" w:rsidR="00642F87" w:rsidRDefault="00642F87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EB59" w14:textId="77777777" w:rsidR="000C1EAB" w:rsidRDefault="000C1EAB">
    <w:pPr>
      <w:pStyle w:val="af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CD6F8" w14:textId="77777777" w:rsidR="000C1EAB" w:rsidRDefault="000C1EAB">
    <w:pPr>
      <w:pStyle w:val="af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A8266" w14:textId="77777777" w:rsidR="000C1EAB" w:rsidRDefault="000C1EAB">
    <w:pPr>
      <w:pStyle w:val="af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67E9"/>
    <w:multiLevelType w:val="multilevel"/>
    <w:tmpl w:val="0AE367E9"/>
    <w:lvl w:ilvl="0">
      <w:start w:val="1"/>
      <w:numFmt w:val="none"/>
      <w:pStyle w:val="a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709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57D3FBC"/>
    <w:multiLevelType w:val="multilevel"/>
    <w:tmpl w:val="657D3FBC"/>
    <w:lvl w:ilvl="0">
      <w:start w:val="1"/>
      <w:numFmt w:val="upperLetter"/>
      <w:pStyle w:val="a5"/>
      <w:suff w:val="nothing"/>
      <w:lvlText w:val="附　录　%1"/>
      <w:lvlJc w:val="left"/>
      <w:pPr>
        <w:ind w:left="312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6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7"/>
      <w:suff w:val="nothing"/>
      <w:lvlText w:val="%1.%2.%3　"/>
      <w:lvlJc w:val="left"/>
      <w:pPr>
        <w:ind w:left="1277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8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9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a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b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687"/>
    <w:rsid w:val="00020FB7"/>
    <w:rsid w:val="00021C1E"/>
    <w:rsid w:val="00023F37"/>
    <w:rsid w:val="000244DE"/>
    <w:rsid w:val="000425F4"/>
    <w:rsid w:val="000522F8"/>
    <w:rsid w:val="000B3065"/>
    <w:rsid w:val="000C1EAB"/>
    <w:rsid w:val="000D47BE"/>
    <w:rsid w:val="000D733D"/>
    <w:rsid w:val="000F07B8"/>
    <w:rsid w:val="00134B85"/>
    <w:rsid w:val="00156103"/>
    <w:rsid w:val="001A2AA7"/>
    <w:rsid w:val="001B57E1"/>
    <w:rsid w:val="00200F01"/>
    <w:rsid w:val="002027E8"/>
    <w:rsid w:val="00204026"/>
    <w:rsid w:val="00210F90"/>
    <w:rsid w:val="00251881"/>
    <w:rsid w:val="00277915"/>
    <w:rsid w:val="002B7447"/>
    <w:rsid w:val="002C37B8"/>
    <w:rsid w:val="002C3FE1"/>
    <w:rsid w:val="002E3687"/>
    <w:rsid w:val="002F293F"/>
    <w:rsid w:val="002F78F3"/>
    <w:rsid w:val="0030748D"/>
    <w:rsid w:val="00310F94"/>
    <w:rsid w:val="0031206F"/>
    <w:rsid w:val="00326117"/>
    <w:rsid w:val="00326E99"/>
    <w:rsid w:val="003341E3"/>
    <w:rsid w:val="00342FC8"/>
    <w:rsid w:val="00377C84"/>
    <w:rsid w:val="00395031"/>
    <w:rsid w:val="003C1EC5"/>
    <w:rsid w:val="003F17AE"/>
    <w:rsid w:val="003F2872"/>
    <w:rsid w:val="00405FE4"/>
    <w:rsid w:val="00422345"/>
    <w:rsid w:val="00443A83"/>
    <w:rsid w:val="00457497"/>
    <w:rsid w:val="00482E65"/>
    <w:rsid w:val="00491258"/>
    <w:rsid w:val="00494848"/>
    <w:rsid w:val="004C7C3B"/>
    <w:rsid w:val="004F1E05"/>
    <w:rsid w:val="004F33A3"/>
    <w:rsid w:val="00504BD6"/>
    <w:rsid w:val="00505268"/>
    <w:rsid w:val="00520FD4"/>
    <w:rsid w:val="005267D2"/>
    <w:rsid w:val="0052709A"/>
    <w:rsid w:val="005750C2"/>
    <w:rsid w:val="00581A6D"/>
    <w:rsid w:val="005A75B9"/>
    <w:rsid w:val="005E1B96"/>
    <w:rsid w:val="00613BCA"/>
    <w:rsid w:val="00642F87"/>
    <w:rsid w:val="00654F12"/>
    <w:rsid w:val="006B4A34"/>
    <w:rsid w:val="006E2C14"/>
    <w:rsid w:val="006E3ADE"/>
    <w:rsid w:val="00732E80"/>
    <w:rsid w:val="007362BC"/>
    <w:rsid w:val="00756CF3"/>
    <w:rsid w:val="00760843"/>
    <w:rsid w:val="007676C3"/>
    <w:rsid w:val="0077018A"/>
    <w:rsid w:val="00770678"/>
    <w:rsid w:val="0078136E"/>
    <w:rsid w:val="00795654"/>
    <w:rsid w:val="00796A4C"/>
    <w:rsid w:val="00797FE8"/>
    <w:rsid w:val="007C3B68"/>
    <w:rsid w:val="007E458D"/>
    <w:rsid w:val="007F2C0B"/>
    <w:rsid w:val="008510E3"/>
    <w:rsid w:val="00893346"/>
    <w:rsid w:val="008C3C29"/>
    <w:rsid w:val="008C5A10"/>
    <w:rsid w:val="008E1E20"/>
    <w:rsid w:val="008E1F3A"/>
    <w:rsid w:val="008E3E1E"/>
    <w:rsid w:val="009048C7"/>
    <w:rsid w:val="009311E3"/>
    <w:rsid w:val="009353EB"/>
    <w:rsid w:val="009617DF"/>
    <w:rsid w:val="00965B0E"/>
    <w:rsid w:val="0096606A"/>
    <w:rsid w:val="0097069C"/>
    <w:rsid w:val="009740F0"/>
    <w:rsid w:val="00A034E6"/>
    <w:rsid w:val="00A20F87"/>
    <w:rsid w:val="00A60DE5"/>
    <w:rsid w:val="00A74816"/>
    <w:rsid w:val="00AA4EBB"/>
    <w:rsid w:val="00AD6F22"/>
    <w:rsid w:val="00AD73E5"/>
    <w:rsid w:val="00AF490E"/>
    <w:rsid w:val="00B376C8"/>
    <w:rsid w:val="00B94B5D"/>
    <w:rsid w:val="00B979AB"/>
    <w:rsid w:val="00BA424E"/>
    <w:rsid w:val="00C21B3D"/>
    <w:rsid w:val="00C61BAA"/>
    <w:rsid w:val="00C62C66"/>
    <w:rsid w:val="00C77DA3"/>
    <w:rsid w:val="00CE764E"/>
    <w:rsid w:val="00CF1888"/>
    <w:rsid w:val="00D03E00"/>
    <w:rsid w:val="00D058A6"/>
    <w:rsid w:val="00D103C1"/>
    <w:rsid w:val="00D10BCC"/>
    <w:rsid w:val="00D2510D"/>
    <w:rsid w:val="00D25F7A"/>
    <w:rsid w:val="00D412E2"/>
    <w:rsid w:val="00D53374"/>
    <w:rsid w:val="00D61046"/>
    <w:rsid w:val="00D7268E"/>
    <w:rsid w:val="00D813F3"/>
    <w:rsid w:val="00D81F10"/>
    <w:rsid w:val="00DA3645"/>
    <w:rsid w:val="00DA410A"/>
    <w:rsid w:val="00DA5F10"/>
    <w:rsid w:val="00DC77BE"/>
    <w:rsid w:val="00DD6A32"/>
    <w:rsid w:val="00DE47C4"/>
    <w:rsid w:val="00DF6E20"/>
    <w:rsid w:val="00DF7496"/>
    <w:rsid w:val="00DF7B2F"/>
    <w:rsid w:val="00E30D95"/>
    <w:rsid w:val="00E30E43"/>
    <w:rsid w:val="00E449A1"/>
    <w:rsid w:val="00E5199A"/>
    <w:rsid w:val="00E703FB"/>
    <w:rsid w:val="00E70EC4"/>
    <w:rsid w:val="00E86B97"/>
    <w:rsid w:val="00EA44B6"/>
    <w:rsid w:val="00EB291E"/>
    <w:rsid w:val="00EB3B63"/>
    <w:rsid w:val="00EB70E1"/>
    <w:rsid w:val="00ED08DF"/>
    <w:rsid w:val="00ED2DF8"/>
    <w:rsid w:val="00F05845"/>
    <w:rsid w:val="00F46A2D"/>
    <w:rsid w:val="00F61049"/>
    <w:rsid w:val="00FB6C7A"/>
    <w:rsid w:val="00FD22CC"/>
    <w:rsid w:val="00FD3616"/>
    <w:rsid w:val="00FD5D61"/>
    <w:rsid w:val="00FE30BA"/>
    <w:rsid w:val="04941786"/>
    <w:rsid w:val="04D51397"/>
    <w:rsid w:val="1D9F013D"/>
    <w:rsid w:val="1E53772F"/>
    <w:rsid w:val="27667AF9"/>
    <w:rsid w:val="28377470"/>
    <w:rsid w:val="28C30F48"/>
    <w:rsid w:val="2ADA47CC"/>
    <w:rsid w:val="30070F2F"/>
    <w:rsid w:val="3F05109B"/>
    <w:rsid w:val="47F9228B"/>
    <w:rsid w:val="49876BCD"/>
    <w:rsid w:val="542B49C3"/>
    <w:rsid w:val="56397D4C"/>
    <w:rsid w:val="59344AD1"/>
    <w:rsid w:val="5C885B2A"/>
    <w:rsid w:val="686E3639"/>
    <w:rsid w:val="6F4A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039A8B0"/>
  <w15:chartTrackingRefBased/>
  <w15:docId w15:val="{35F76023-B44D-4258-B750-32B44FDB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c">
    <w:name w:val="Normal"/>
    <w:qFormat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paragraph" w:styleId="1">
    <w:name w:val="heading 1"/>
    <w:basedOn w:val="ac"/>
    <w:next w:val="ac"/>
    <w:link w:val="10"/>
    <w:uiPriority w:val="9"/>
    <w:qFormat/>
    <w:pPr>
      <w:keepNext/>
      <w:keepLines/>
      <w:spacing w:before="120" w:line="360" w:lineRule="auto"/>
      <w:ind w:firstLineChars="0" w:firstLine="0"/>
      <w:outlineLvl w:val="0"/>
    </w:pPr>
    <w:rPr>
      <w:bCs/>
      <w:kern w:val="44"/>
      <w:szCs w:val="44"/>
    </w:rPr>
  </w:style>
  <w:style w:type="paragraph" w:styleId="2">
    <w:name w:val="heading 2"/>
    <w:basedOn w:val="ac"/>
    <w:next w:val="ac"/>
    <w:link w:val="20"/>
    <w:uiPriority w:val="9"/>
    <w:qFormat/>
    <w:pPr>
      <w:spacing w:line="360" w:lineRule="auto"/>
      <w:ind w:firstLineChars="0" w:firstLine="0"/>
      <w:outlineLvl w:val="1"/>
    </w:pPr>
    <w:rPr>
      <w:bCs/>
      <w:szCs w:val="32"/>
    </w:rPr>
  </w:style>
  <w:style w:type="character" w:default="1" w:styleId="ad">
    <w:name w:val="Default Paragraph Font"/>
    <w:uiPriority w:val="1"/>
    <w:semiHidden/>
    <w:unhideWhenUsed/>
  </w:style>
  <w:style w:type="table" w:default="1" w:styleId="a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Times New Roman" w:eastAsia="宋体" w:hAnsi="Times New Roman"/>
      <w:bCs/>
      <w:kern w:val="44"/>
      <w:sz w:val="24"/>
      <w:szCs w:val="44"/>
    </w:rPr>
  </w:style>
  <w:style w:type="character" w:customStyle="1" w:styleId="20">
    <w:name w:val="标题 2 字符"/>
    <w:link w:val="2"/>
    <w:uiPriority w:val="9"/>
    <w:rPr>
      <w:rFonts w:ascii="Times New Roman" w:eastAsia="宋体" w:hAnsi="Times New Roman" w:cs="Times New Roman"/>
      <w:bCs/>
      <w:sz w:val="24"/>
      <w:szCs w:val="32"/>
    </w:rPr>
  </w:style>
  <w:style w:type="character" w:styleId="af0">
    <w:name w:val="Hyperlink"/>
    <w:basedOn w:val="ad"/>
    <w:uiPriority w:val="99"/>
    <w:rPr>
      <w:color w:val="0000FF"/>
      <w:spacing w:val="0"/>
      <w:w w:val="100"/>
      <w:szCs w:val="21"/>
      <w:u w:val="single"/>
    </w:rPr>
  </w:style>
  <w:style w:type="character" w:customStyle="1" w:styleId="af1">
    <w:name w:val="批注框文本 字符"/>
    <w:basedOn w:val="ad"/>
    <w:link w:val="af2"/>
    <w:uiPriority w:val="99"/>
    <w:semiHidden/>
    <w:rPr>
      <w:rFonts w:ascii="Times New Roman" w:eastAsia="宋体" w:hAnsi="Times New Roman"/>
      <w:kern w:val="2"/>
      <w:sz w:val="18"/>
      <w:szCs w:val="18"/>
    </w:rPr>
  </w:style>
  <w:style w:type="character" w:customStyle="1" w:styleId="af3">
    <w:name w:val="页脚 字符"/>
    <w:link w:val="af4"/>
    <w:uiPriority w:val="99"/>
    <w:qFormat/>
    <w:rPr>
      <w:sz w:val="18"/>
      <w:szCs w:val="18"/>
    </w:rPr>
  </w:style>
  <w:style w:type="character" w:customStyle="1" w:styleId="af5">
    <w:name w:val="页眉 字符"/>
    <w:link w:val="af6"/>
    <w:uiPriority w:val="99"/>
    <w:rPr>
      <w:sz w:val="18"/>
      <w:szCs w:val="18"/>
    </w:rPr>
  </w:style>
  <w:style w:type="character" w:customStyle="1" w:styleId="af7">
    <w:name w:val="标题 字符"/>
    <w:basedOn w:val="ad"/>
    <w:link w:val="af8"/>
    <w:rPr>
      <w:rFonts w:ascii="等线 Light" w:eastAsia="宋体" w:hAnsi="等线 Light" w:cs="Times New Roman"/>
      <w:b/>
      <w:bCs/>
      <w:kern w:val="2"/>
      <w:sz w:val="32"/>
      <w:szCs w:val="32"/>
    </w:rPr>
  </w:style>
  <w:style w:type="character" w:customStyle="1" w:styleId="Char">
    <w:name w:val="段 Char"/>
    <w:link w:val="af9"/>
    <w:rPr>
      <w:rFonts w:ascii="宋体" w:eastAsia="宋体" w:hAnsi="Times New Roman"/>
      <w:sz w:val="21"/>
    </w:rPr>
  </w:style>
  <w:style w:type="paragraph" w:styleId="TOC1">
    <w:name w:val="toc 1"/>
    <w:basedOn w:val="ac"/>
    <w:next w:val="ac"/>
    <w:uiPriority w:val="39"/>
    <w:qFormat/>
    <w:pPr>
      <w:tabs>
        <w:tab w:val="right" w:leader="dot" w:pos="9242"/>
      </w:tabs>
      <w:spacing w:beforeLines="25" w:afterLines="25"/>
      <w:ind w:firstLineChars="0" w:firstLine="0"/>
      <w:jc w:val="left"/>
    </w:pPr>
    <w:rPr>
      <w:rFonts w:ascii="宋体"/>
      <w:sz w:val="21"/>
      <w:szCs w:val="21"/>
    </w:rPr>
  </w:style>
  <w:style w:type="paragraph" w:styleId="af2">
    <w:name w:val="Balloon Text"/>
    <w:basedOn w:val="ac"/>
    <w:link w:val="af1"/>
    <w:uiPriority w:val="99"/>
    <w:unhideWhenUsed/>
    <w:rPr>
      <w:sz w:val="18"/>
      <w:szCs w:val="18"/>
    </w:rPr>
  </w:style>
  <w:style w:type="paragraph" w:styleId="af6">
    <w:name w:val="header"/>
    <w:basedOn w:val="ac"/>
    <w:link w:val="af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4">
    <w:name w:val="footer"/>
    <w:basedOn w:val="ac"/>
    <w:link w:val="af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3">
    <w:name w:val="toc 3"/>
    <w:basedOn w:val="ac"/>
    <w:next w:val="ac"/>
    <w:uiPriority w:val="39"/>
    <w:pPr>
      <w:tabs>
        <w:tab w:val="right" w:leader="dot" w:pos="9241"/>
      </w:tabs>
      <w:ind w:firstLineChars="100" w:firstLine="100"/>
      <w:jc w:val="left"/>
    </w:pPr>
    <w:rPr>
      <w:rFonts w:ascii="宋体"/>
      <w:sz w:val="21"/>
      <w:szCs w:val="21"/>
    </w:rPr>
  </w:style>
  <w:style w:type="paragraph" w:styleId="TOC2">
    <w:name w:val="toc 2"/>
    <w:basedOn w:val="ac"/>
    <w:next w:val="ac"/>
    <w:uiPriority w:val="39"/>
    <w:qFormat/>
    <w:pPr>
      <w:tabs>
        <w:tab w:val="right" w:leader="dot" w:pos="9242"/>
      </w:tabs>
      <w:ind w:firstLineChars="0" w:firstLine="0"/>
    </w:pPr>
    <w:rPr>
      <w:rFonts w:ascii="宋体"/>
      <w:sz w:val="21"/>
      <w:szCs w:val="21"/>
    </w:rPr>
  </w:style>
  <w:style w:type="paragraph" w:styleId="af8">
    <w:name w:val="Title"/>
    <w:basedOn w:val="ac"/>
    <w:next w:val="ac"/>
    <w:link w:val="af7"/>
    <w:qFormat/>
    <w:pPr>
      <w:spacing w:before="240" w:after="60"/>
      <w:ind w:firstLineChars="0" w:firstLine="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paragraph" w:customStyle="1" w:styleId="a4">
    <w:name w:val="五级条标题"/>
    <w:basedOn w:val="a3"/>
    <w:next w:val="af9"/>
    <w:pPr>
      <w:numPr>
        <w:ilvl w:val="5"/>
      </w:numPr>
      <w:outlineLvl w:val="6"/>
    </w:pPr>
  </w:style>
  <w:style w:type="paragraph" w:customStyle="1" w:styleId="a">
    <w:name w:val="示例"/>
    <w:next w:val="ac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9">
    <w:name w:val="附录三级条标题"/>
    <w:basedOn w:val="a8"/>
    <w:next w:val="af9"/>
    <w:qFormat/>
    <w:pPr>
      <w:numPr>
        <w:ilvl w:val="4"/>
      </w:numPr>
      <w:tabs>
        <w:tab w:val="left" w:pos="360"/>
      </w:tabs>
      <w:outlineLvl w:val="4"/>
    </w:pPr>
  </w:style>
  <w:style w:type="paragraph" w:customStyle="1" w:styleId="a7">
    <w:name w:val="附录一级条标题"/>
    <w:basedOn w:val="a6"/>
    <w:next w:val="af9"/>
    <w:pPr>
      <w:numPr>
        <w:ilvl w:val="2"/>
      </w:numPr>
      <w:tabs>
        <w:tab w:val="left" w:pos="360"/>
      </w:tabs>
      <w:autoSpaceDN w:val="0"/>
      <w:spacing w:beforeLines="50" w:afterLines="50"/>
      <w:ind w:left="630"/>
      <w:outlineLvl w:val="2"/>
    </w:pPr>
  </w:style>
  <w:style w:type="paragraph" w:styleId="afa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6">
    <w:name w:val="附录章标题"/>
    <w:next w:val="af9"/>
    <w:qFormat/>
    <w:pPr>
      <w:numPr>
        <w:ilvl w:val="1"/>
        <w:numId w:val="2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3">
    <w:name w:val="四级条标题"/>
    <w:basedOn w:val="ac"/>
    <w:next w:val="af9"/>
    <w:qFormat/>
    <w:pPr>
      <w:widowControl/>
      <w:numPr>
        <w:ilvl w:val="4"/>
        <w:numId w:val="3"/>
      </w:numPr>
      <w:spacing w:beforeLines="50" w:afterLines="50"/>
      <w:ind w:firstLineChars="0"/>
      <w:jc w:val="left"/>
      <w:outlineLvl w:val="5"/>
    </w:pPr>
    <w:rPr>
      <w:rFonts w:ascii="黑体" w:eastAsia="黑体"/>
      <w:kern w:val="0"/>
      <w:sz w:val="21"/>
      <w:szCs w:val="21"/>
    </w:rPr>
  </w:style>
  <w:style w:type="paragraph" w:customStyle="1" w:styleId="a8">
    <w:name w:val="附录二级条标题"/>
    <w:basedOn w:val="ac"/>
    <w:next w:val="af9"/>
    <w:pPr>
      <w:widowControl/>
      <w:numPr>
        <w:ilvl w:val="3"/>
        <w:numId w:val="2"/>
      </w:numPr>
      <w:wordWrap w:val="0"/>
      <w:overflowPunct w:val="0"/>
      <w:autoSpaceDE w:val="0"/>
      <w:autoSpaceDN w:val="0"/>
      <w:spacing w:beforeLines="50" w:afterLines="50"/>
      <w:ind w:firstLineChars="0"/>
      <w:textAlignment w:val="baseline"/>
      <w:outlineLvl w:val="3"/>
    </w:pPr>
    <w:rPr>
      <w:rFonts w:ascii="黑体" w:eastAsia="黑体"/>
      <w:kern w:val="21"/>
      <w:sz w:val="21"/>
      <w:szCs w:val="20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kern w:val="2"/>
      <w:sz w:val="21"/>
    </w:rPr>
  </w:style>
  <w:style w:type="paragraph" w:customStyle="1" w:styleId="af9">
    <w:name w:val="段"/>
    <w:link w:val="Char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a0">
    <w:name w:val="章标题"/>
    <w:next w:val="af9"/>
    <w:pPr>
      <w:numPr>
        <w:numId w:val="3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b">
    <w:name w:val="附录五级条标题"/>
    <w:basedOn w:val="aa"/>
    <w:next w:val="af9"/>
    <w:qFormat/>
    <w:pPr>
      <w:numPr>
        <w:ilvl w:val="6"/>
      </w:numPr>
      <w:outlineLvl w:val="6"/>
    </w:pPr>
  </w:style>
  <w:style w:type="paragraph" w:customStyle="1" w:styleId="a1">
    <w:name w:val="一级条标题"/>
    <w:next w:val="af9"/>
    <w:pPr>
      <w:numPr>
        <w:ilvl w:val="1"/>
        <w:numId w:val="3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2">
    <w:name w:val="二级条标题"/>
    <w:basedOn w:val="a1"/>
    <w:next w:val="af9"/>
    <w:pPr>
      <w:numPr>
        <w:ilvl w:val="2"/>
      </w:numPr>
      <w:spacing w:before="50" w:after="50"/>
      <w:outlineLvl w:val="3"/>
    </w:pPr>
  </w:style>
  <w:style w:type="paragraph" w:customStyle="1" w:styleId="aa">
    <w:name w:val="附录四级条标题"/>
    <w:basedOn w:val="a9"/>
    <w:next w:val="af9"/>
    <w:pPr>
      <w:numPr>
        <w:ilvl w:val="5"/>
      </w:numPr>
      <w:outlineLvl w:val="5"/>
    </w:pPr>
  </w:style>
  <w:style w:type="paragraph" w:customStyle="1" w:styleId="12">
    <w:name w:val="列出段落1"/>
    <w:basedOn w:val="ac"/>
    <w:uiPriority w:val="34"/>
    <w:qFormat/>
    <w:pPr>
      <w:ind w:firstLine="420"/>
    </w:pPr>
  </w:style>
  <w:style w:type="paragraph" w:customStyle="1" w:styleId="a5">
    <w:name w:val="附录标识"/>
    <w:basedOn w:val="ac"/>
    <w:next w:val="af9"/>
    <w:pPr>
      <w:keepNext/>
      <w:widowControl/>
      <w:numPr>
        <w:numId w:val="2"/>
      </w:numPr>
      <w:shd w:val="clear" w:color="FFFFFF" w:fill="FFFFFF"/>
      <w:tabs>
        <w:tab w:val="left" w:pos="6405"/>
      </w:tabs>
      <w:spacing w:before="640" w:after="280"/>
      <w:ind w:firstLineChars="0"/>
      <w:jc w:val="center"/>
      <w:outlineLvl w:val="0"/>
    </w:pPr>
    <w:rPr>
      <w:rFonts w:ascii="黑体" w:eastAsia="黑体"/>
      <w:kern w:val="0"/>
      <w:sz w:val="21"/>
      <w:szCs w:val="20"/>
    </w:rPr>
  </w:style>
  <w:style w:type="paragraph" w:customStyle="1" w:styleId="afb">
    <w:name w:val="目次、标准名称标题"/>
    <w:basedOn w:val="ac"/>
    <w:next w:val="af9"/>
    <w:pPr>
      <w:keepNext/>
      <w:pageBreakBefore/>
      <w:widowControl/>
      <w:shd w:val="clear" w:color="FFFFFF" w:fill="FFFFFF"/>
      <w:spacing w:before="640" w:after="560" w:line="460" w:lineRule="exact"/>
      <w:ind w:firstLineChars="0" w:firstLine="0"/>
      <w:jc w:val="center"/>
      <w:outlineLvl w:val="0"/>
    </w:pPr>
    <w:rPr>
      <w:rFonts w:ascii="黑体" w:eastAsia="黑体"/>
      <w:kern w:val="0"/>
      <w:sz w:val="32"/>
      <w:szCs w:val="20"/>
    </w:rPr>
  </w:style>
  <w:style w:type="table" w:styleId="afc">
    <w:name w:val="Table Grid"/>
    <w:basedOn w:val="ae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760</Characters>
  <Application>Microsoft Office Word</Application>
  <DocSecurity>0</DocSecurity>
  <Lines>6</Lines>
  <Paragraphs>1</Paragraphs>
  <ScaleCrop>false</ScaleCrop>
  <Company>China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李晓睿</dc:creator>
  <cp:keywords/>
  <cp:lastModifiedBy>李 晓辉</cp:lastModifiedBy>
  <cp:revision>5</cp:revision>
  <dcterms:created xsi:type="dcterms:W3CDTF">2021-08-26T07:10:00Z</dcterms:created>
  <dcterms:modified xsi:type="dcterms:W3CDTF">2021-08-31T06:48:00Z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